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4904" w14:paraId="76643FEA" w14:textId="77777777" w:rsidTr="008301B6">
        <w:tc>
          <w:tcPr>
            <w:tcW w:w="9350" w:type="dxa"/>
            <w:shd w:val="clear" w:color="auto" w:fill="002060"/>
          </w:tcPr>
          <w:p w14:paraId="07C39CD5" w14:textId="7CD57035" w:rsidR="00314904" w:rsidRDefault="00FB2389" w:rsidP="002055B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HIPAA</w:t>
            </w:r>
            <w:r w:rsidR="00314904">
              <w:rPr>
                <w:b/>
                <w:sz w:val="36"/>
                <w:szCs w:val="36"/>
              </w:rPr>
              <w:t xml:space="preserve"> </w:t>
            </w:r>
            <w:r w:rsidR="002055B4">
              <w:rPr>
                <w:b/>
                <w:sz w:val="36"/>
                <w:szCs w:val="36"/>
              </w:rPr>
              <w:t>Penalties</w:t>
            </w:r>
            <w:r w:rsidR="00497E0E">
              <w:rPr>
                <w:b/>
                <w:sz w:val="36"/>
                <w:szCs w:val="36"/>
              </w:rPr>
              <w:t xml:space="preserve"> Worksheet</w:t>
            </w:r>
          </w:p>
        </w:tc>
      </w:tr>
    </w:tbl>
    <w:p w14:paraId="7EF4D81C" w14:textId="77777777" w:rsidR="00314904" w:rsidRDefault="00314904" w:rsidP="008C1594">
      <w:pPr>
        <w:rPr>
          <w:b/>
          <w:sz w:val="36"/>
          <w:szCs w:val="36"/>
        </w:rPr>
      </w:pPr>
    </w:p>
    <w:p w14:paraId="12139DCA" w14:textId="18FF4A09" w:rsidR="00314904" w:rsidRPr="008301B6" w:rsidRDefault="000A792C" w:rsidP="008C1594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Are you a </w:t>
      </w:r>
      <w:r w:rsidR="0006239B">
        <w:rPr>
          <w:b/>
          <w:color w:val="002060"/>
          <w:sz w:val="28"/>
          <w:szCs w:val="28"/>
        </w:rPr>
        <w:t>HIPAA-</w:t>
      </w:r>
      <w:r>
        <w:rPr>
          <w:b/>
          <w:color w:val="002060"/>
          <w:sz w:val="28"/>
          <w:szCs w:val="28"/>
        </w:rPr>
        <w:t xml:space="preserve">covered </w:t>
      </w:r>
      <w:r w:rsidR="0006239B">
        <w:rPr>
          <w:b/>
          <w:color w:val="002060"/>
          <w:sz w:val="28"/>
          <w:szCs w:val="28"/>
        </w:rPr>
        <w:t>entity</w:t>
      </w:r>
      <w:r w:rsidR="00314904" w:rsidRPr="008301B6">
        <w:rPr>
          <w:b/>
          <w:color w:val="002060"/>
          <w:sz w:val="28"/>
          <w:szCs w:val="28"/>
        </w:rPr>
        <w:t>?</w:t>
      </w:r>
    </w:p>
    <w:p w14:paraId="414F7627" w14:textId="77777777" w:rsidR="0029725E" w:rsidRDefault="0029725E" w:rsidP="008C1594">
      <w:r>
        <w:t>A covered entity is one of the following:</w:t>
      </w:r>
    </w:p>
    <w:p w14:paraId="40EE2C32" w14:textId="77777777" w:rsidR="0029725E" w:rsidRDefault="0029725E" w:rsidP="008C1594"/>
    <w:tbl>
      <w:tblPr>
        <w:tblW w:w="9535" w:type="dxa"/>
        <w:tblBorders>
          <w:top w:val="single" w:sz="6" w:space="0" w:color="97CDEB"/>
          <w:left w:val="single" w:sz="6" w:space="0" w:color="97CDEB"/>
          <w:bottom w:val="single" w:sz="6" w:space="0" w:color="97CDEB"/>
          <w:right w:val="single" w:sz="6" w:space="0" w:color="97CD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2980"/>
        <w:gridCol w:w="3559"/>
      </w:tblGrid>
      <w:tr w:rsidR="0029725E" w:rsidRPr="0029725E" w14:paraId="0DDBB8CA" w14:textId="77777777" w:rsidTr="0029725E">
        <w:tc>
          <w:tcPr>
            <w:tcW w:w="0" w:type="auto"/>
            <w:tcBorders>
              <w:top w:val="single" w:sz="4" w:space="0" w:color="071566"/>
              <w:left w:val="single" w:sz="4" w:space="0" w:color="071566"/>
              <w:bottom w:val="single" w:sz="4" w:space="0" w:color="071566"/>
              <w:right w:val="single" w:sz="4" w:space="0" w:color="FFFFFF" w:themeColor="background1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CAEBA" w14:textId="77777777" w:rsidR="0029725E" w:rsidRPr="0029725E" w:rsidRDefault="0029725E" w:rsidP="0029725E">
            <w:pPr>
              <w:spacing w:after="300"/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</w:rPr>
            </w:pPr>
            <w:r w:rsidRPr="0029725E">
              <w:rPr>
                <w:rFonts w:ascii="Cambria" w:eastAsia="Times New Roman" w:hAnsi="Cambria" w:cs="Times New Roman"/>
                <w:bCs/>
                <w:color w:val="FFFFFF" w:themeColor="background1"/>
                <w:sz w:val="28"/>
                <w:szCs w:val="28"/>
              </w:rPr>
              <w:t>A Health Care Provider</w:t>
            </w:r>
          </w:p>
        </w:tc>
        <w:tc>
          <w:tcPr>
            <w:tcW w:w="0" w:type="auto"/>
            <w:tcBorders>
              <w:top w:val="single" w:sz="4" w:space="0" w:color="071566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07D45C" w14:textId="77777777" w:rsidR="0029725E" w:rsidRPr="0029725E" w:rsidRDefault="0029725E" w:rsidP="0029725E">
            <w:pPr>
              <w:spacing w:after="300"/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</w:rPr>
            </w:pPr>
            <w:r w:rsidRPr="0029725E">
              <w:rPr>
                <w:rFonts w:ascii="Cambria" w:eastAsia="Times New Roman" w:hAnsi="Cambria" w:cs="Times New Roman"/>
                <w:bCs/>
                <w:color w:val="FFFFFF" w:themeColor="background1"/>
                <w:sz w:val="28"/>
                <w:szCs w:val="28"/>
              </w:rPr>
              <w:t>A Health Plan</w:t>
            </w:r>
          </w:p>
        </w:tc>
        <w:tc>
          <w:tcPr>
            <w:tcW w:w="3559" w:type="dxa"/>
            <w:tcBorders>
              <w:top w:val="single" w:sz="4" w:space="0" w:color="071566"/>
              <w:left w:val="single" w:sz="4" w:space="0" w:color="FFFFFF" w:themeColor="background1"/>
              <w:bottom w:val="single" w:sz="4" w:space="0" w:color="071566"/>
              <w:right w:val="single" w:sz="4" w:space="0" w:color="071566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6AAF80" w14:textId="77777777" w:rsidR="0029725E" w:rsidRPr="0029725E" w:rsidRDefault="0029725E" w:rsidP="0029725E">
            <w:pPr>
              <w:spacing w:after="300"/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</w:rPr>
            </w:pPr>
            <w:r w:rsidRPr="0029725E">
              <w:rPr>
                <w:rFonts w:ascii="Cambria" w:eastAsia="Times New Roman" w:hAnsi="Cambria" w:cs="Times New Roman"/>
                <w:bCs/>
                <w:color w:val="FFFFFF" w:themeColor="background1"/>
                <w:sz w:val="28"/>
                <w:szCs w:val="28"/>
              </w:rPr>
              <w:t>A Health Care Clearinghouse</w:t>
            </w:r>
          </w:p>
        </w:tc>
      </w:tr>
      <w:tr w:rsidR="0029725E" w:rsidRPr="0029725E" w14:paraId="20E351A9" w14:textId="77777777" w:rsidTr="0029725E">
        <w:tc>
          <w:tcPr>
            <w:tcW w:w="0" w:type="auto"/>
            <w:tcBorders>
              <w:top w:val="single" w:sz="4" w:space="0" w:color="071566"/>
              <w:left w:val="single" w:sz="4" w:space="0" w:color="071566"/>
              <w:bottom w:val="single" w:sz="4" w:space="0" w:color="071566"/>
              <w:right w:val="single" w:sz="4" w:space="0" w:color="0715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CD774" w14:textId="77777777" w:rsidR="0029725E" w:rsidRPr="0029725E" w:rsidRDefault="0029725E" w:rsidP="0029725E">
            <w:pPr>
              <w:spacing w:after="300"/>
              <w:rPr>
                <w:rFonts w:ascii="Cambria" w:hAnsi="Cambria" w:cs="Times New Roman"/>
                <w:color w:val="000000"/>
              </w:rPr>
            </w:pPr>
            <w:r w:rsidRPr="0029725E">
              <w:rPr>
                <w:rFonts w:ascii="Cambria" w:hAnsi="Cambria" w:cs="Times New Roman"/>
                <w:color w:val="000000"/>
              </w:rPr>
              <w:t>This includes providers such as:</w:t>
            </w:r>
          </w:p>
          <w:p w14:paraId="3BF24E37" w14:textId="77777777" w:rsidR="0029725E" w:rsidRPr="0029725E" w:rsidRDefault="0029725E" w:rsidP="0029725E">
            <w:pPr>
              <w:pStyle w:val="ListParagraph"/>
              <w:numPr>
                <w:ilvl w:val="0"/>
                <w:numId w:val="4"/>
              </w:num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Doctors</w:t>
            </w:r>
          </w:p>
          <w:p w14:paraId="59AF5BFC" w14:textId="77777777" w:rsidR="0029725E" w:rsidRPr="0029725E" w:rsidRDefault="0029725E" w:rsidP="0029725E">
            <w:pPr>
              <w:pStyle w:val="ListParagraph"/>
              <w:numPr>
                <w:ilvl w:val="0"/>
                <w:numId w:val="4"/>
              </w:num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Clinics</w:t>
            </w:r>
          </w:p>
          <w:p w14:paraId="3768C1BE" w14:textId="77777777" w:rsidR="0029725E" w:rsidRPr="0029725E" w:rsidRDefault="0029725E" w:rsidP="0029725E">
            <w:pPr>
              <w:pStyle w:val="ListParagraph"/>
              <w:numPr>
                <w:ilvl w:val="0"/>
                <w:numId w:val="4"/>
              </w:num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Psychologists</w:t>
            </w:r>
          </w:p>
          <w:p w14:paraId="48DD5EC7" w14:textId="77777777" w:rsidR="0029725E" w:rsidRPr="0029725E" w:rsidRDefault="0029725E" w:rsidP="0029725E">
            <w:pPr>
              <w:pStyle w:val="ListParagraph"/>
              <w:numPr>
                <w:ilvl w:val="0"/>
                <w:numId w:val="4"/>
              </w:num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Dentists</w:t>
            </w:r>
          </w:p>
          <w:p w14:paraId="6F89E071" w14:textId="77777777" w:rsidR="0029725E" w:rsidRPr="0029725E" w:rsidRDefault="0029725E" w:rsidP="0029725E">
            <w:pPr>
              <w:pStyle w:val="ListParagraph"/>
              <w:numPr>
                <w:ilvl w:val="0"/>
                <w:numId w:val="4"/>
              </w:num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Chiropractors</w:t>
            </w:r>
          </w:p>
          <w:p w14:paraId="17743B53" w14:textId="77777777" w:rsidR="0029725E" w:rsidRPr="0029725E" w:rsidRDefault="0029725E" w:rsidP="0029725E">
            <w:pPr>
              <w:pStyle w:val="ListParagraph"/>
              <w:numPr>
                <w:ilvl w:val="0"/>
                <w:numId w:val="4"/>
              </w:num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Nursing Homes</w:t>
            </w:r>
          </w:p>
          <w:p w14:paraId="6114A4C2" w14:textId="77777777" w:rsidR="0029725E" w:rsidRPr="0029725E" w:rsidRDefault="0029725E" w:rsidP="0029725E">
            <w:pPr>
              <w:pStyle w:val="ListParagraph"/>
              <w:numPr>
                <w:ilvl w:val="0"/>
                <w:numId w:val="4"/>
              </w:num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Pharmacies</w:t>
            </w:r>
          </w:p>
          <w:p w14:paraId="70019CDC" w14:textId="77777777" w:rsidR="0029725E" w:rsidRPr="0029725E" w:rsidRDefault="0029725E" w:rsidP="0029725E">
            <w:pPr>
              <w:spacing w:after="300"/>
              <w:rPr>
                <w:rFonts w:ascii="Cambria" w:hAnsi="Cambria" w:cs="Times New Roman"/>
                <w:color w:val="000000"/>
              </w:rPr>
            </w:pPr>
            <w:r w:rsidRPr="0029725E">
              <w:rPr>
                <w:rFonts w:ascii="Cambria" w:hAnsi="Cambria" w:cs="Times New Roman"/>
                <w:color w:val="000000"/>
              </w:rPr>
              <w:t>...but only if they transmit any information in an electronic form in connection with a transaction for which HHS has adopted a standard.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71566"/>
              <w:bottom w:val="single" w:sz="4" w:space="0" w:color="071566"/>
              <w:right w:val="single" w:sz="4" w:space="0" w:color="0715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EBA3D4" w14:textId="77777777" w:rsidR="0029725E" w:rsidRPr="0029725E" w:rsidRDefault="0029725E" w:rsidP="0029725E">
            <w:pPr>
              <w:spacing w:after="300"/>
              <w:rPr>
                <w:rFonts w:ascii="Cambria" w:hAnsi="Cambria" w:cs="Times New Roman"/>
                <w:color w:val="000000"/>
              </w:rPr>
            </w:pPr>
            <w:r w:rsidRPr="0029725E">
              <w:rPr>
                <w:rFonts w:ascii="Cambria" w:hAnsi="Cambria" w:cs="Times New Roman"/>
                <w:color w:val="000000"/>
              </w:rPr>
              <w:t>This includes:</w:t>
            </w:r>
          </w:p>
          <w:p w14:paraId="52F8B1E3" w14:textId="77777777" w:rsidR="0029725E" w:rsidRPr="0029725E" w:rsidRDefault="0029725E" w:rsidP="0029725E">
            <w:pPr>
              <w:pStyle w:val="ListParagraph"/>
              <w:numPr>
                <w:ilvl w:val="0"/>
                <w:numId w:val="5"/>
              </w:num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Health insurance companies</w:t>
            </w:r>
          </w:p>
          <w:p w14:paraId="29CD424F" w14:textId="77777777" w:rsidR="0029725E" w:rsidRPr="0029725E" w:rsidRDefault="0029725E" w:rsidP="0029725E">
            <w:pPr>
              <w:pStyle w:val="ListParagraph"/>
              <w:numPr>
                <w:ilvl w:val="0"/>
                <w:numId w:val="5"/>
              </w:num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HMOs</w:t>
            </w:r>
          </w:p>
          <w:p w14:paraId="4275994E" w14:textId="77777777" w:rsidR="0029725E" w:rsidRPr="0029725E" w:rsidRDefault="0029725E" w:rsidP="0029725E">
            <w:pPr>
              <w:pStyle w:val="ListParagraph"/>
              <w:numPr>
                <w:ilvl w:val="0"/>
                <w:numId w:val="5"/>
              </w:num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Company health plans</w:t>
            </w:r>
          </w:p>
          <w:p w14:paraId="34871F8D" w14:textId="7C064E66" w:rsidR="0029725E" w:rsidRPr="0029725E" w:rsidRDefault="0029725E" w:rsidP="0029725E">
            <w:pPr>
              <w:numPr>
                <w:ilvl w:val="0"/>
                <w:numId w:val="3"/>
              </w:numPr>
              <w:spacing w:after="300"/>
              <w:ind w:left="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 xml:space="preserve">Government programs that pay for health care, such as Medicare, Medicaid, and the military and </w:t>
            </w:r>
            <w:r w:rsidR="00C27C00" w:rsidRPr="0029725E">
              <w:rPr>
                <w:rFonts w:ascii="Cambria" w:eastAsia="Times New Roman" w:hAnsi="Cambria" w:cs="Times New Roman"/>
                <w:color w:val="000000"/>
              </w:rPr>
              <w:t>veterans’</w:t>
            </w:r>
            <w:bookmarkStart w:id="0" w:name="_GoBack"/>
            <w:bookmarkEnd w:id="0"/>
            <w:r w:rsidRPr="0029725E">
              <w:rPr>
                <w:rFonts w:ascii="Cambria" w:eastAsia="Times New Roman" w:hAnsi="Cambria" w:cs="Times New Roman"/>
                <w:color w:val="000000"/>
              </w:rPr>
              <w:t xml:space="preserve"> health care programs</w:t>
            </w:r>
          </w:p>
        </w:tc>
        <w:tc>
          <w:tcPr>
            <w:tcW w:w="3559" w:type="dxa"/>
            <w:tcBorders>
              <w:top w:val="single" w:sz="4" w:space="0" w:color="071566"/>
              <w:left w:val="single" w:sz="4" w:space="0" w:color="071566"/>
              <w:bottom w:val="single" w:sz="4" w:space="0" w:color="071566"/>
              <w:right w:val="single" w:sz="4" w:space="0" w:color="07156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D23260" w14:textId="77777777" w:rsidR="0029725E" w:rsidRPr="0029725E" w:rsidRDefault="0029725E" w:rsidP="0029725E">
            <w:pPr>
              <w:spacing w:after="300"/>
              <w:rPr>
                <w:rFonts w:ascii="Cambria" w:eastAsia="Times New Roman" w:hAnsi="Cambria" w:cs="Times New Roman"/>
                <w:color w:val="000000"/>
              </w:rPr>
            </w:pPr>
            <w:r w:rsidRPr="0029725E">
              <w:rPr>
                <w:rFonts w:ascii="Cambria" w:eastAsia="Times New Roman" w:hAnsi="Cambria" w:cs="Times New Roman"/>
                <w:color w:val="000000"/>
              </w:rPr>
              <w:t>This includes entities that process nonstandard health information they receive from another entity into a standard (i.e., standard electronic format or data content), or vice versa.</w:t>
            </w:r>
          </w:p>
        </w:tc>
      </w:tr>
    </w:tbl>
    <w:p w14:paraId="2B7B947D" w14:textId="35741248" w:rsidR="00314904" w:rsidRPr="0029725E" w:rsidRDefault="00314904" w:rsidP="008C1594">
      <w:r>
        <w:t xml:space="preserve"> </w:t>
      </w:r>
    </w:p>
    <w:p w14:paraId="472FF485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15C47440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2CAC7E3D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7073AC78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20AC6E48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120F8F35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79F5AFEE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616B28D5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670A5875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12F05B9F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29F79172" w14:textId="77777777" w:rsidR="00A87498" w:rsidRDefault="00A87498" w:rsidP="008C1594">
      <w:pPr>
        <w:rPr>
          <w:b/>
          <w:color w:val="002060"/>
          <w:sz w:val="28"/>
          <w:szCs w:val="28"/>
        </w:rPr>
      </w:pPr>
    </w:p>
    <w:p w14:paraId="07BAD676" w14:textId="25C22537" w:rsidR="005D5CF6" w:rsidRPr="008301B6" w:rsidRDefault="00314904" w:rsidP="008C1594">
      <w:pPr>
        <w:rPr>
          <w:b/>
          <w:color w:val="002060"/>
          <w:sz w:val="28"/>
          <w:szCs w:val="28"/>
        </w:rPr>
      </w:pPr>
      <w:r w:rsidRPr="008301B6">
        <w:rPr>
          <w:b/>
          <w:color w:val="002060"/>
          <w:sz w:val="28"/>
          <w:szCs w:val="28"/>
        </w:rPr>
        <w:t>What penalties could you face?</w:t>
      </w:r>
    </w:p>
    <w:tbl>
      <w:tblPr>
        <w:tblW w:w="5101" w:type="pct"/>
        <w:tblBorders>
          <w:top w:val="single" w:sz="6" w:space="0" w:color="BCBCBC"/>
          <w:left w:val="single" w:sz="6" w:space="0" w:color="BCBCBC"/>
          <w:bottom w:val="single" w:sz="6" w:space="0" w:color="BCBCBC"/>
          <w:right w:val="single" w:sz="6" w:space="0" w:color="BCBCB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3"/>
        <w:gridCol w:w="3779"/>
        <w:gridCol w:w="2521"/>
      </w:tblGrid>
      <w:tr w:rsidR="00FB51B2" w:rsidRPr="00350BA1" w14:paraId="135C9EDF" w14:textId="77777777" w:rsidTr="00FB51B2">
        <w:tc>
          <w:tcPr>
            <w:tcW w:w="169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002060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4EDB6B9" w14:textId="5467496C" w:rsidR="00350BA1" w:rsidRPr="00FB51B2" w:rsidRDefault="00350BA1" w:rsidP="00350BA1">
            <w:pPr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</w:rPr>
            </w:pPr>
            <w:r w:rsidRPr="00FB51B2"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</w:rPr>
              <w:t>HIPAA Violation</w:t>
            </w:r>
          </w:p>
        </w:tc>
        <w:tc>
          <w:tcPr>
            <w:tcW w:w="198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002060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E87C9EC" w14:textId="1978889B" w:rsidR="00350BA1" w:rsidRPr="00FB51B2" w:rsidRDefault="00350BA1" w:rsidP="00350BA1">
            <w:pPr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</w:rPr>
            </w:pPr>
            <w:r w:rsidRPr="00FB51B2"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</w:rPr>
              <w:t>Minimum Penalty</w:t>
            </w:r>
          </w:p>
        </w:tc>
        <w:tc>
          <w:tcPr>
            <w:tcW w:w="132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002060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5A402C" w14:textId="401D6A04" w:rsidR="00350BA1" w:rsidRPr="00FB51B2" w:rsidRDefault="00350BA1" w:rsidP="00350BA1">
            <w:pPr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</w:rPr>
            </w:pPr>
            <w:r w:rsidRPr="00FB51B2">
              <w:rPr>
                <w:rFonts w:ascii="Cambria" w:eastAsia="Times New Roman" w:hAnsi="Cambria" w:cs="Times New Roman"/>
                <w:color w:val="FFFFFF" w:themeColor="background1"/>
                <w:sz w:val="28"/>
                <w:szCs w:val="28"/>
              </w:rPr>
              <w:t>Maximum Penalty</w:t>
            </w:r>
          </w:p>
        </w:tc>
      </w:tr>
      <w:tr w:rsidR="00FB51B2" w:rsidRPr="00350BA1" w14:paraId="17A1F230" w14:textId="77777777" w:rsidTr="00FB51B2">
        <w:tc>
          <w:tcPr>
            <w:tcW w:w="169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CBE4F7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Individual did not know (and by exercising reasonable diligence would not have known) that he/she violated HIPAA</w:t>
            </w:r>
          </w:p>
        </w:tc>
        <w:tc>
          <w:tcPr>
            <w:tcW w:w="198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1BBB63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$100 per violation, with an annual maximum of $25,000 for repeat violations (Note: maximum that can be imposed by State Attorneys General regardless of the type of violation)</w:t>
            </w:r>
          </w:p>
        </w:tc>
        <w:tc>
          <w:tcPr>
            <w:tcW w:w="132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F08EC5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$50,000 per violation, with an annual maximum of $1.5 million</w:t>
            </w:r>
          </w:p>
        </w:tc>
      </w:tr>
      <w:tr w:rsidR="00FB51B2" w:rsidRPr="00350BA1" w14:paraId="194653BD" w14:textId="77777777" w:rsidTr="00FB51B2">
        <w:tc>
          <w:tcPr>
            <w:tcW w:w="169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D4CE04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HIPAA violation due to reasonable cause and not due to willful neglect</w:t>
            </w:r>
          </w:p>
        </w:tc>
        <w:tc>
          <w:tcPr>
            <w:tcW w:w="198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F03A3C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$1,000 per violation, with an annual maximum of $100,000 for repeat violations</w:t>
            </w:r>
          </w:p>
        </w:tc>
        <w:tc>
          <w:tcPr>
            <w:tcW w:w="132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F6CDE9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$50,000 per violation, with an annual maximum of $1.5 million</w:t>
            </w:r>
          </w:p>
        </w:tc>
      </w:tr>
      <w:tr w:rsidR="00FB51B2" w:rsidRPr="00350BA1" w14:paraId="43834186" w14:textId="77777777" w:rsidTr="00FB51B2">
        <w:tc>
          <w:tcPr>
            <w:tcW w:w="169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07494F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HIPAA violation due to willful neglect but violation is corrected within the required time period</w:t>
            </w:r>
          </w:p>
        </w:tc>
        <w:tc>
          <w:tcPr>
            <w:tcW w:w="198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9438C3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$10,000 per violation, with an annual maximum of $250,000 for repeat violations</w:t>
            </w:r>
          </w:p>
        </w:tc>
        <w:tc>
          <w:tcPr>
            <w:tcW w:w="132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9F9F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525B3F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$50,000 per violation, with an annual maximum of $1.5 million</w:t>
            </w:r>
          </w:p>
        </w:tc>
      </w:tr>
      <w:tr w:rsidR="00FB51B2" w:rsidRPr="00350BA1" w14:paraId="3EFAA95D" w14:textId="77777777" w:rsidTr="00FB51B2">
        <w:tc>
          <w:tcPr>
            <w:tcW w:w="1696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759004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HIPAA violation is due to willful neglect and is not corrected</w:t>
            </w:r>
          </w:p>
        </w:tc>
        <w:tc>
          <w:tcPr>
            <w:tcW w:w="198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22B73B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$50,000 per violation, with an annual maximum of $1.5 million</w:t>
            </w:r>
          </w:p>
        </w:tc>
        <w:tc>
          <w:tcPr>
            <w:tcW w:w="1322" w:type="pct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DC1ABD" w14:textId="77777777" w:rsidR="00350BA1" w:rsidRPr="00350BA1" w:rsidRDefault="00350BA1" w:rsidP="00350BA1">
            <w:pPr>
              <w:rPr>
                <w:rFonts w:ascii="Cambria" w:eastAsia="Times New Roman" w:hAnsi="Cambria" w:cs="Times New Roman"/>
                <w:color w:val="3B3B3B"/>
              </w:rPr>
            </w:pPr>
            <w:r w:rsidRPr="00350BA1">
              <w:rPr>
                <w:rFonts w:ascii="Cambria" w:eastAsia="Times New Roman" w:hAnsi="Cambria" w:cs="Times New Roman"/>
                <w:color w:val="3B3B3B"/>
              </w:rPr>
              <w:t>$50,000 per violation, with an annual maximum of $1.5 million</w:t>
            </w:r>
          </w:p>
        </w:tc>
      </w:tr>
    </w:tbl>
    <w:p w14:paraId="3C724B6D" w14:textId="77777777" w:rsidR="002D1F2F" w:rsidRDefault="002D1F2F" w:rsidP="008301B6"/>
    <w:p w14:paraId="07C45AF6" w14:textId="116CFB2C" w:rsidR="002D1F2F" w:rsidRPr="00094A5E" w:rsidRDefault="002D1F2F" w:rsidP="008301B6">
      <w:pPr>
        <w:rPr>
          <w:b/>
          <w:color w:val="002060"/>
          <w:sz w:val="28"/>
          <w:szCs w:val="28"/>
        </w:rPr>
      </w:pPr>
      <w:r w:rsidRPr="00094A5E">
        <w:rPr>
          <w:b/>
          <w:color w:val="002060"/>
          <w:sz w:val="28"/>
          <w:szCs w:val="28"/>
        </w:rPr>
        <w:t xml:space="preserve">What </w:t>
      </w:r>
      <w:r w:rsidR="00350BA1">
        <w:rPr>
          <w:b/>
          <w:color w:val="002060"/>
          <w:sz w:val="28"/>
          <w:szCs w:val="28"/>
        </w:rPr>
        <w:t>if the infraction is considered criminal</w:t>
      </w:r>
      <w:r w:rsidRPr="00094A5E">
        <w:rPr>
          <w:b/>
          <w:color w:val="002060"/>
          <w:sz w:val="28"/>
          <w:szCs w:val="28"/>
        </w:rPr>
        <w:t>?</w:t>
      </w:r>
    </w:p>
    <w:p w14:paraId="483AB909" w14:textId="77777777" w:rsidR="008D1E08" w:rsidRDefault="00FB51B2" w:rsidP="004816AA">
      <w:pPr>
        <w:rPr>
          <w:color w:val="000000" w:themeColor="text1"/>
        </w:rPr>
      </w:pPr>
      <w:r>
        <w:rPr>
          <w:color w:val="000000" w:themeColor="text1"/>
        </w:rPr>
        <w:t>If a person</w:t>
      </w:r>
      <w:r w:rsidR="004816AA">
        <w:rPr>
          <w:color w:val="000000" w:themeColor="text1"/>
        </w:rPr>
        <w:t xml:space="preserve"> or entity</w:t>
      </w:r>
      <w:r>
        <w:rPr>
          <w:color w:val="000000" w:themeColor="text1"/>
        </w:rPr>
        <w:t xml:space="preserve"> deliberately acquires or discloses a person’s health information; the fine is $50,000 and up to one year in jail. When an offense is committed through</w:t>
      </w:r>
      <w:r w:rsidR="004816AA">
        <w:rPr>
          <w:color w:val="000000" w:themeColor="text1"/>
        </w:rPr>
        <w:t xml:space="preserve"> deception, the fine is $100,000 and up to five years in jail. </w:t>
      </w:r>
    </w:p>
    <w:p w14:paraId="2336A371" w14:textId="77777777" w:rsidR="008D1E08" w:rsidRDefault="008D1E08" w:rsidP="004816AA">
      <w:pPr>
        <w:rPr>
          <w:color w:val="000000" w:themeColor="text1"/>
        </w:rPr>
      </w:pPr>
    </w:p>
    <w:p w14:paraId="322F15C2" w14:textId="1127945C" w:rsidR="00051CC1" w:rsidRPr="00051CC1" w:rsidRDefault="007A447D" w:rsidP="004816AA">
      <w:pPr>
        <w:rPr>
          <w:color w:val="000000" w:themeColor="text1"/>
        </w:rPr>
      </w:pPr>
      <w:r>
        <w:rPr>
          <w:color w:val="000000" w:themeColor="text1"/>
        </w:rPr>
        <w:t>If health information was sold</w:t>
      </w:r>
      <w:r w:rsidR="004816AA">
        <w:rPr>
          <w:color w:val="000000" w:themeColor="text1"/>
        </w:rPr>
        <w:t>, transferred</w:t>
      </w:r>
      <w:r>
        <w:rPr>
          <w:color w:val="000000" w:themeColor="text1"/>
        </w:rPr>
        <w:t>, or used for profit-making</w:t>
      </w:r>
      <w:r w:rsidR="004816AA">
        <w:rPr>
          <w:color w:val="000000" w:themeColor="text1"/>
        </w:rPr>
        <w:t xml:space="preserve"> or any type of personal gain or intent to harm, the fine is $250,000 and up to 10 years in jail. </w:t>
      </w:r>
    </w:p>
    <w:p w14:paraId="5362812D" w14:textId="77777777" w:rsidR="00051CC1" w:rsidRDefault="00051CC1" w:rsidP="008301B6">
      <w:pPr>
        <w:rPr>
          <w:color w:val="000000" w:themeColor="text1"/>
        </w:rPr>
      </w:pPr>
    </w:p>
    <w:p w14:paraId="0502830D" w14:textId="77777777" w:rsidR="00051CC1" w:rsidRDefault="00051CC1" w:rsidP="008301B6">
      <w:pPr>
        <w:rPr>
          <w:color w:val="000000" w:themeColor="text1"/>
        </w:rPr>
      </w:pPr>
    </w:p>
    <w:p w14:paraId="56587206" w14:textId="77777777" w:rsidR="00397C3D" w:rsidRDefault="00397C3D" w:rsidP="008301B6">
      <w:pPr>
        <w:rPr>
          <w:color w:val="000000" w:themeColor="text1"/>
        </w:rPr>
      </w:pPr>
    </w:p>
    <w:p w14:paraId="1A1B22AE" w14:textId="77777777" w:rsidR="00397C3D" w:rsidRDefault="00397C3D" w:rsidP="008301B6">
      <w:pPr>
        <w:rPr>
          <w:color w:val="000000" w:themeColor="text1"/>
        </w:rPr>
      </w:pPr>
    </w:p>
    <w:p w14:paraId="1E0E372B" w14:textId="77777777" w:rsidR="00397C3D" w:rsidRDefault="00397C3D" w:rsidP="008301B6">
      <w:pPr>
        <w:rPr>
          <w:color w:val="000000" w:themeColor="text1"/>
        </w:rPr>
      </w:pPr>
    </w:p>
    <w:p w14:paraId="22672AD0" w14:textId="77777777" w:rsidR="00397C3D" w:rsidRDefault="00397C3D" w:rsidP="008301B6">
      <w:pPr>
        <w:rPr>
          <w:color w:val="000000" w:themeColor="text1"/>
        </w:rPr>
      </w:pPr>
    </w:p>
    <w:p w14:paraId="6AE23E42" w14:textId="77777777" w:rsidR="00397C3D" w:rsidRDefault="00397C3D" w:rsidP="008301B6">
      <w:pPr>
        <w:rPr>
          <w:color w:val="000000" w:themeColor="text1"/>
        </w:rPr>
      </w:pPr>
    </w:p>
    <w:p w14:paraId="047B5BDF" w14:textId="77777777" w:rsidR="00397C3D" w:rsidRDefault="00397C3D" w:rsidP="008301B6">
      <w:pPr>
        <w:rPr>
          <w:color w:val="000000" w:themeColor="text1"/>
        </w:rPr>
      </w:pPr>
    </w:p>
    <w:p w14:paraId="0B803116" w14:textId="77777777" w:rsidR="00397C3D" w:rsidRDefault="00397C3D" w:rsidP="008301B6">
      <w:pPr>
        <w:rPr>
          <w:color w:val="000000" w:themeColor="text1"/>
        </w:rPr>
      </w:pPr>
    </w:p>
    <w:p w14:paraId="4FE7DFE0" w14:textId="77777777" w:rsidR="00397C3D" w:rsidRDefault="00397C3D" w:rsidP="008301B6">
      <w:pPr>
        <w:rPr>
          <w:color w:val="000000" w:themeColor="text1"/>
        </w:rPr>
      </w:pPr>
    </w:p>
    <w:p w14:paraId="037DF925" w14:textId="27E16ABC" w:rsidR="00397C3D" w:rsidRPr="00FE5EF7" w:rsidRDefault="00397C3D" w:rsidP="00FE5EF7">
      <w:pPr>
        <w:spacing w:line="242" w:lineRule="auto"/>
        <w:ind w:right="112"/>
        <w:rPr>
          <w:sz w:val="20"/>
          <w:szCs w:val="20"/>
        </w:rPr>
      </w:pPr>
      <w:r w:rsidRPr="00FE5EF7">
        <w:rPr>
          <w:color w:val="050505"/>
          <w:w w:val="105"/>
          <w:sz w:val="20"/>
          <w:szCs w:val="20"/>
        </w:rPr>
        <w:t xml:space="preserve">Prepare yourself and your company for these compliance requirements to change or be altered. Stay up-to-date on the latest information regarding </w:t>
      </w:r>
      <w:r w:rsidR="00AB0BA0" w:rsidRPr="00FE5EF7">
        <w:rPr>
          <w:color w:val="050505"/>
          <w:w w:val="105"/>
          <w:sz w:val="20"/>
          <w:szCs w:val="20"/>
        </w:rPr>
        <w:t>HIPAA</w:t>
      </w:r>
      <w:r w:rsidRPr="00FE5EF7">
        <w:rPr>
          <w:color w:val="050505"/>
          <w:w w:val="105"/>
          <w:sz w:val="20"/>
          <w:szCs w:val="20"/>
        </w:rPr>
        <w:t xml:space="preserve"> </w:t>
      </w:r>
      <w:r w:rsidRPr="00FE5EF7">
        <w:rPr>
          <w:color w:val="050505"/>
          <w:spacing w:val="-23"/>
          <w:w w:val="105"/>
          <w:sz w:val="20"/>
          <w:szCs w:val="20"/>
        </w:rPr>
        <w:t xml:space="preserve"> </w:t>
      </w:r>
      <w:r w:rsidRPr="00FE5EF7">
        <w:rPr>
          <w:color w:val="050505"/>
          <w:w w:val="105"/>
          <w:sz w:val="20"/>
          <w:szCs w:val="20"/>
        </w:rPr>
        <w:t>by</w:t>
      </w:r>
      <w:r w:rsidRPr="00FE5EF7">
        <w:rPr>
          <w:color w:val="050505"/>
          <w:spacing w:val="-19"/>
          <w:w w:val="105"/>
          <w:sz w:val="20"/>
          <w:szCs w:val="20"/>
        </w:rPr>
        <w:t xml:space="preserve"> </w:t>
      </w:r>
      <w:r w:rsidRPr="00FE5EF7">
        <w:rPr>
          <w:color w:val="050505"/>
          <w:w w:val="105"/>
          <w:sz w:val="20"/>
          <w:szCs w:val="20"/>
        </w:rPr>
        <w:t>visiting</w:t>
      </w:r>
      <w:r w:rsidRPr="00FE5EF7">
        <w:rPr>
          <w:color w:val="050505"/>
          <w:spacing w:val="-20"/>
          <w:w w:val="105"/>
          <w:sz w:val="20"/>
          <w:szCs w:val="20"/>
        </w:rPr>
        <w:t xml:space="preserve"> </w:t>
      </w:r>
      <w:hyperlink r:id="rId5" w:history="1">
        <w:r w:rsidRPr="00FE5EF7">
          <w:rPr>
            <w:rStyle w:val="Hyperlink"/>
            <w:sz w:val="20"/>
            <w:szCs w:val="20"/>
          </w:rPr>
          <w:t>http://compliance.theolsongroup.com/</w:t>
        </w:r>
      </w:hyperlink>
      <w:r w:rsidRPr="00FE5EF7">
        <w:rPr>
          <w:sz w:val="20"/>
          <w:szCs w:val="20"/>
        </w:rPr>
        <w:t>.</w:t>
      </w:r>
    </w:p>
    <w:sectPr w:rsidR="00397C3D" w:rsidRPr="00FE5EF7" w:rsidSect="008D0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33BE4"/>
    <w:multiLevelType w:val="multilevel"/>
    <w:tmpl w:val="3AF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90334"/>
    <w:multiLevelType w:val="multilevel"/>
    <w:tmpl w:val="3AF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87F94"/>
    <w:multiLevelType w:val="hybridMultilevel"/>
    <w:tmpl w:val="38BE2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6F3C91"/>
    <w:multiLevelType w:val="multilevel"/>
    <w:tmpl w:val="87CC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B6574"/>
    <w:multiLevelType w:val="hybridMultilevel"/>
    <w:tmpl w:val="E1A4D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89"/>
    <w:rsid w:val="00003782"/>
    <w:rsid w:val="000513AD"/>
    <w:rsid w:val="00051CC1"/>
    <w:rsid w:val="0006239B"/>
    <w:rsid w:val="00094A5E"/>
    <w:rsid w:val="000A792C"/>
    <w:rsid w:val="00137846"/>
    <w:rsid w:val="00174748"/>
    <w:rsid w:val="002055B4"/>
    <w:rsid w:val="002434AA"/>
    <w:rsid w:val="0029725E"/>
    <w:rsid w:val="002C66D3"/>
    <w:rsid w:val="002D1F2F"/>
    <w:rsid w:val="002E609F"/>
    <w:rsid w:val="00314904"/>
    <w:rsid w:val="00350BA1"/>
    <w:rsid w:val="00397C3D"/>
    <w:rsid w:val="003A51F3"/>
    <w:rsid w:val="003B57D0"/>
    <w:rsid w:val="00440078"/>
    <w:rsid w:val="00453384"/>
    <w:rsid w:val="004816AA"/>
    <w:rsid w:val="00482AC5"/>
    <w:rsid w:val="00497E0E"/>
    <w:rsid w:val="00547E8A"/>
    <w:rsid w:val="005D5CF6"/>
    <w:rsid w:val="006A7DA7"/>
    <w:rsid w:val="00796A57"/>
    <w:rsid w:val="007A447D"/>
    <w:rsid w:val="008301B6"/>
    <w:rsid w:val="00857E2E"/>
    <w:rsid w:val="0087743A"/>
    <w:rsid w:val="008C1594"/>
    <w:rsid w:val="008D0170"/>
    <w:rsid w:val="008D1E08"/>
    <w:rsid w:val="008D3E11"/>
    <w:rsid w:val="008E1754"/>
    <w:rsid w:val="00A42235"/>
    <w:rsid w:val="00A87498"/>
    <w:rsid w:val="00AB0BA0"/>
    <w:rsid w:val="00AF1052"/>
    <w:rsid w:val="00B95D2F"/>
    <w:rsid w:val="00C27C00"/>
    <w:rsid w:val="00CC7512"/>
    <w:rsid w:val="00D8743E"/>
    <w:rsid w:val="00DC26BF"/>
    <w:rsid w:val="00DC55CF"/>
    <w:rsid w:val="00DD674D"/>
    <w:rsid w:val="00DF0C3D"/>
    <w:rsid w:val="00E045B4"/>
    <w:rsid w:val="00E9151A"/>
    <w:rsid w:val="00ED2DDC"/>
    <w:rsid w:val="00FB2389"/>
    <w:rsid w:val="00FB51B2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FB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A7"/>
    <w:pPr>
      <w:ind w:left="720"/>
      <w:contextualSpacing/>
    </w:pPr>
  </w:style>
  <w:style w:type="table" w:styleId="TableGrid">
    <w:name w:val="Table Grid"/>
    <w:basedOn w:val="TableNormal"/>
    <w:uiPriority w:val="39"/>
    <w:rsid w:val="0031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9725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97C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ompliance.theolsongroup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jeanetta/Library/Group%20Containers/UBF8T346G9.Office/User%20Content.localized/Templates.localized/Violations%20wks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Violations wksht.dotx</Template>
  <TotalTime>35</TotalTime>
  <Pages>3</Pages>
  <Words>388</Words>
  <Characters>2213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Jeanetta</dc:creator>
  <cp:keywords/>
  <dc:description/>
  <cp:lastModifiedBy>Anthony Jeanetta</cp:lastModifiedBy>
  <cp:revision>20</cp:revision>
  <dcterms:created xsi:type="dcterms:W3CDTF">2016-09-26T19:20:00Z</dcterms:created>
  <dcterms:modified xsi:type="dcterms:W3CDTF">2017-01-24T20:45:00Z</dcterms:modified>
</cp:coreProperties>
</file>